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7BD0" w:rsidRDefault="003D7BD0" w:rsidP="003D7BD0">
      <w:pPr>
        <w:jc w:val="center"/>
        <w:rPr>
          <w:b/>
          <w:bCs/>
        </w:rPr>
      </w:pPr>
      <w:r w:rsidRPr="003D7BD0">
        <w:rPr>
          <w:b/>
          <w:bCs/>
        </w:rPr>
        <w:t>Reglamento Interior ASEC</w:t>
      </w:r>
    </w:p>
    <w:p w:rsidR="003D7BD0" w:rsidRPr="003D7BD0" w:rsidRDefault="003D7BD0" w:rsidP="003D7BD0">
      <w:pPr>
        <w:jc w:val="center"/>
        <w:rPr>
          <w:b/>
          <w:bCs/>
        </w:rPr>
      </w:pPr>
      <w:bookmarkStart w:id="0" w:name="_GoBack"/>
      <w:bookmarkEnd w:id="0"/>
    </w:p>
    <w:p w:rsidR="003D7BD0" w:rsidRDefault="003D7BD0">
      <w:r>
        <w:t xml:space="preserve">Página: </w:t>
      </w:r>
      <w:hyperlink r:id="rId5" w:history="1">
        <w:r w:rsidRPr="00D92AE3">
          <w:rPr>
            <w:rStyle w:val="Hipervnculo"/>
          </w:rPr>
          <w:t>http://187.188.75.57/transparencia/2021/Content/1/Reglamento_Interior_ASEC.pdf</w:t>
        </w:r>
      </w:hyperlink>
      <w:r>
        <w:t xml:space="preserve"> </w:t>
      </w:r>
    </w:p>
    <w:p w:rsidR="003D7BD0" w:rsidRDefault="003D7BD0" w:rsidP="003D7BD0">
      <w:r>
        <w:t xml:space="preserve">Fundamento del Reglamento Interior: </w:t>
      </w:r>
    </w:p>
    <w:p w:rsidR="003D7BD0" w:rsidRPr="003D7BD0" w:rsidRDefault="003D7BD0" w:rsidP="003D7BD0">
      <w:pPr>
        <w:pStyle w:val="Prrafodelista"/>
        <w:numPr>
          <w:ilvl w:val="0"/>
          <w:numId w:val="1"/>
        </w:numPr>
        <w:rPr>
          <w:rFonts w:ascii="Calibri" w:hAnsi="Calibri"/>
          <w:color w:val="000000"/>
        </w:rPr>
      </w:pPr>
      <w:r w:rsidRPr="003D7BD0">
        <w:rPr>
          <w:rFonts w:ascii="Calibri" w:hAnsi="Calibri"/>
          <w:color w:val="000000"/>
        </w:rPr>
        <w:t>8-A-XIV</w:t>
      </w:r>
      <w:r w:rsidRPr="003D7BD0">
        <w:rPr>
          <w:rFonts w:ascii="Calibri" w:hAnsi="Calibri"/>
          <w:color w:val="000000"/>
        </w:rPr>
        <w:t xml:space="preserve"> y </w:t>
      </w:r>
      <w:r w:rsidRPr="003D7BD0">
        <w:rPr>
          <w:rFonts w:ascii="Calibri" w:hAnsi="Calibri"/>
          <w:color w:val="000000"/>
        </w:rPr>
        <w:t xml:space="preserve">B-II; </w:t>
      </w:r>
    </w:p>
    <w:p w:rsidR="003D7BD0" w:rsidRPr="003D7BD0" w:rsidRDefault="003D7BD0" w:rsidP="003D7BD0">
      <w:pPr>
        <w:pStyle w:val="Prrafodelista"/>
        <w:numPr>
          <w:ilvl w:val="0"/>
          <w:numId w:val="1"/>
        </w:numPr>
        <w:rPr>
          <w:rFonts w:ascii="Calibri" w:hAnsi="Calibri"/>
          <w:color w:val="000000"/>
        </w:rPr>
      </w:pPr>
      <w:r w:rsidRPr="003D7BD0">
        <w:rPr>
          <w:rFonts w:ascii="Calibri" w:hAnsi="Calibri"/>
          <w:color w:val="000000"/>
        </w:rPr>
        <w:t xml:space="preserve">20-XIII </w:t>
      </w:r>
    </w:p>
    <w:p w:rsidR="003D7BD0" w:rsidRPr="003D7BD0" w:rsidRDefault="003D7BD0" w:rsidP="003D7BD0">
      <w:pPr>
        <w:pStyle w:val="Prrafodelista"/>
        <w:numPr>
          <w:ilvl w:val="0"/>
          <w:numId w:val="1"/>
        </w:numPr>
        <w:rPr>
          <w:rFonts w:ascii="Calibri" w:hAnsi="Calibri"/>
          <w:color w:val="000000"/>
        </w:rPr>
      </w:pPr>
      <w:r w:rsidRPr="003D7BD0">
        <w:rPr>
          <w:rFonts w:ascii="Calibri" w:hAnsi="Calibri"/>
          <w:color w:val="000000"/>
        </w:rPr>
        <w:t>30-IX</w:t>
      </w:r>
      <w:r w:rsidRPr="003D7BD0">
        <w:rPr>
          <w:rFonts w:ascii="Calibri" w:hAnsi="Calibri"/>
          <w:color w:val="000000"/>
        </w:rPr>
        <w:t>.</w:t>
      </w:r>
    </w:p>
    <w:p w:rsidR="003D7BD0" w:rsidRDefault="003D7BD0" w:rsidP="003D7BD0"/>
    <w:p w:rsidR="003D7BD0" w:rsidRDefault="003D7BD0" w:rsidP="003D7BD0"/>
    <w:p w:rsidR="003D7BD0" w:rsidRPr="003D7BD0" w:rsidRDefault="003D7BD0" w:rsidP="003D7BD0">
      <w:pPr>
        <w:rPr>
          <w:b/>
          <w:bCs/>
        </w:rPr>
      </w:pPr>
      <w:r w:rsidRPr="003D7BD0">
        <w:rPr>
          <w:b/>
          <w:bCs/>
        </w:rPr>
        <w:t>Artículo 8.</w:t>
      </w:r>
    </w:p>
    <w:p w:rsidR="003D7BD0" w:rsidRDefault="003D7BD0" w:rsidP="003D7BD0">
      <w:r>
        <w:t>El Auditor Superior tendrá, además de las atribuciones conferidas por la Constitución, por la Ley y</w:t>
      </w:r>
    </w:p>
    <w:p w:rsidR="003D7BD0" w:rsidRDefault="003D7BD0" w:rsidP="003D7BD0">
      <w:r>
        <w:t>demás disposiciones aplicables, las siguientes:</w:t>
      </w:r>
    </w:p>
    <w:p w:rsidR="003D7BD0" w:rsidRDefault="003D7BD0" w:rsidP="003D7BD0">
      <w:r>
        <w:t>A. Delegables:</w:t>
      </w:r>
    </w:p>
    <w:p w:rsidR="003D7BD0" w:rsidRDefault="003D7BD0" w:rsidP="003D7BD0">
      <w:pPr>
        <w:ind w:left="708"/>
      </w:pPr>
      <w:r>
        <w:t>XIV. Vigilar el cabal cumplimiento de las disposiciones en materia de ética y conducta, así como</w:t>
      </w:r>
      <w:r>
        <w:t xml:space="preserve"> </w:t>
      </w:r>
      <w:r>
        <w:t>prevención de conflicto de intereses aplicables a los servidores públicos de la Auditoría</w:t>
      </w:r>
      <w:r>
        <w:t xml:space="preserve"> </w:t>
      </w:r>
      <w:r>
        <w:t>Superior y profesionales de auditoría independientes;</w:t>
      </w:r>
    </w:p>
    <w:p w:rsidR="003D7BD0" w:rsidRDefault="003D7BD0" w:rsidP="003D7BD0">
      <w:r w:rsidRPr="003D7BD0">
        <w:t>B. Indelegables:</w:t>
      </w:r>
    </w:p>
    <w:p w:rsidR="003D7BD0" w:rsidRDefault="003D7BD0" w:rsidP="003D7BD0">
      <w:pPr>
        <w:ind w:left="708"/>
        <w:jc w:val="both"/>
      </w:pPr>
      <w:r>
        <w:t>II. Emitir las disposiciones en materia de ética y conducta, así como para la prevención de</w:t>
      </w:r>
      <w:r>
        <w:t xml:space="preserve"> </w:t>
      </w:r>
      <w:r>
        <w:t>conflictos de intereses que deberán observar los servidores públicos de la Auditoría</w:t>
      </w:r>
      <w:r>
        <w:t xml:space="preserve"> </w:t>
      </w:r>
      <w:r>
        <w:t>Superior y los profesionales de auditoría independientes habilitados por la misma, y</w:t>
      </w:r>
      <w:r>
        <w:t xml:space="preserve"> </w:t>
      </w:r>
      <w:r>
        <w:t>publicarlas en la página de internet institucional;</w:t>
      </w:r>
    </w:p>
    <w:p w:rsidR="003D7BD0" w:rsidRDefault="003D7BD0" w:rsidP="003D7BD0">
      <w:pPr>
        <w:jc w:val="both"/>
      </w:pPr>
    </w:p>
    <w:p w:rsidR="003D7BD0" w:rsidRPr="003D7BD0" w:rsidRDefault="003D7BD0" w:rsidP="003D7BD0">
      <w:pPr>
        <w:rPr>
          <w:b/>
          <w:bCs/>
        </w:rPr>
      </w:pPr>
      <w:r w:rsidRPr="003D7BD0">
        <w:rPr>
          <w:b/>
          <w:bCs/>
        </w:rPr>
        <w:t>Artículo 20.</w:t>
      </w:r>
    </w:p>
    <w:p w:rsidR="003D7BD0" w:rsidRDefault="003D7BD0" w:rsidP="003D7BD0">
      <w:r>
        <w:t>La Dirección de Estadística, Indicadores y Procedimientos de Desempeño estará adscrita a la</w:t>
      </w:r>
      <w:r>
        <w:t xml:space="preserve"> </w:t>
      </w:r>
      <w:r>
        <w:t>Auditoría Especial de Desempeño y tendrá las siguientes atribuciones:</w:t>
      </w:r>
      <w:r>
        <w:t xml:space="preserve"> </w:t>
      </w:r>
    </w:p>
    <w:p w:rsidR="003D7BD0" w:rsidRDefault="003D7BD0" w:rsidP="003D7BD0">
      <w:pPr>
        <w:ind w:left="708"/>
        <w:jc w:val="both"/>
      </w:pPr>
      <w:r>
        <w:t>XIII. Promover la capacitación, la profesionalización, así como la certificación de competencias</w:t>
      </w:r>
      <w:r>
        <w:t xml:space="preserve"> </w:t>
      </w:r>
      <w:r>
        <w:t>profesionales y éticas al personal de la Auditoría Superior y al de las entidades fiscalizadas,</w:t>
      </w:r>
      <w:r>
        <w:t xml:space="preserve"> </w:t>
      </w:r>
      <w:r>
        <w:t>en</w:t>
      </w:r>
      <w:r>
        <w:t xml:space="preserve"> </w:t>
      </w:r>
      <w:r>
        <w:t>temas de transparencia financiera, rendición de cuentas, contabilidad gubernamental,</w:t>
      </w:r>
      <w:r>
        <w:t xml:space="preserve"> </w:t>
      </w:r>
      <w:r>
        <w:t xml:space="preserve">control interno, </w:t>
      </w:r>
      <w:proofErr w:type="gramStart"/>
      <w:r>
        <w:t>auditoría gubernamental y gestión gubernamental</w:t>
      </w:r>
      <w:proofErr w:type="gramEnd"/>
      <w:r>
        <w:t>, y</w:t>
      </w:r>
    </w:p>
    <w:p w:rsidR="003D7BD0" w:rsidRDefault="003D7BD0" w:rsidP="003D7BD0"/>
    <w:p w:rsidR="003D7BD0" w:rsidRDefault="003D7BD0" w:rsidP="003D7BD0"/>
    <w:p w:rsidR="003D7BD0" w:rsidRDefault="003D7BD0" w:rsidP="003D7BD0"/>
    <w:p w:rsidR="003D7BD0" w:rsidRDefault="003D7BD0" w:rsidP="003D7BD0"/>
    <w:p w:rsidR="003D7BD0" w:rsidRDefault="003D7BD0" w:rsidP="003D7BD0">
      <w:pPr>
        <w:jc w:val="both"/>
      </w:pPr>
      <w:r>
        <w:lastRenderedPageBreak/>
        <w:t>Articulo 30 La Dirección de Enlace Institucional estará adscrita a la Unidad de Asuntos Jurídicos y tendrá las siguientes atribuciones:</w:t>
      </w:r>
    </w:p>
    <w:p w:rsidR="003D7BD0" w:rsidRDefault="003D7BD0" w:rsidP="003D7BD0">
      <w:pPr>
        <w:ind w:left="708"/>
        <w:jc w:val="both"/>
      </w:pPr>
      <w:r>
        <w:t>IX. Apoyar en la capacitación, la profesionalización, así como la certificación de competencias</w:t>
      </w:r>
      <w:r>
        <w:t xml:space="preserve"> </w:t>
      </w:r>
      <w:r>
        <w:t>profesionales y éticas al personal de la Auditoría Superior y al de las entidades fiscalizadas,</w:t>
      </w:r>
      <w:r>
        <w:t xml:space="preserve"> </w:t>
      </w:r>
      <w:r>
        <w:t>en temas de transparencia financiera, rendición de cuentas, contabilidad gubernamental,</w:t>
      </w:r>
      <w:r>
        <w:t xml:space="preserve"> </w:t>
      </w:r>
      <w:r>
        <w:t xml:space="preserve">control interno, </w:t>
      </w:r>
      <w:proofErr w:type="gramStart"/>
      <w:r>
        <w:t>auditoría gubernamental y gestión gubernamental</w:t>
      </w:r>
      <w:proofErr w:type="gramEnd"/>
      <w:r>
        <w:t>, y</w:t>
      </w:r>
    </w:p>
    <w:p w:rsidR="003D7BD0" w:rsidRDefault="003D7BD0" w:rsidP="003D7BD0"/>
    <w:p w:rsidR="003D7BD0" w:rsidRDefault="003D7BD0" w:rsidP="003D7BD0"/>
    <w:sectPr w:rsidR="003D7BD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B357DD"/>
    <w:multiLevelType w:val="hybridMultilevel"/>
    <w:tmpl w:val="FE2A2BD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7BD0"/>
    <w:rsid w:val="003D7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172417"/>
  <w15:chartTrackingRefBased/>
  <w15:docId w15:val="{813F7808-F1D2-4B04-A324-B0EC2C7C77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D7BD0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3D7BD0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3D7B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187.188.75.57/transparencia/2021/Content/1/Reglamento_Interior_ASEC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314</Words>
  <Characters>1730</Characters>
  <Application>Microsoft Office Word</Application>
  <DocSecurity>0</DocSecurity>
  <Lines>14</Lines>
  <Paragraphs>4</Paragraphs>
  <ScaleCrop>false</ScaleCrop>
  <Company/>
  <LinksUpToDate>false</LinksUpToDate>
  <CharactersWithSpaces>2040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Oscar Eduardo Rodríguez Castañeda</dc:creator>
  <cp:keywords/>
  <dc:description/>
  <cp:lastModifiedBy>Oscar Eduardo Rodríguez Castañeda</cp:lastModifiedBy>
  <cp:revision>1</cp:revision>
  <dcterms:created xsi:type="dcterms:W3CDTF">2022-06-12T01:53:00Z</dcterms:created>
  <dcterms:modified xsi:type="dcterms:W3CDTF">2022-06-12T01:58:00Z</dcterms:modified>
</cp:coreProperties>
</file>